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EDF89" w14:textId="16E6547F" w:rsidR="00642471" w:rsidRPr="00C26E72" w:rsidRDefault="00C26E72">
      <w:pPr>
        <w:rPr>
          <w:rFonts w:cstheme="minorHAnsi"/>
          <w:b/>
          <w:bCs/>
        </w:rPr>
      </w:pPr>
      <w:r w:rsidRPr="00C26E72">
        <w:rPr>
          <w:rFonts w:cstheme="minorHAnsi"/>
          <w:b/>
          <w:bCs/>
        </w:rPr>
        <w:t>Annex V D 2 Concept verwerkersovereenkomst Appendix</w:t>
      </w:r>
    </w:p>
    <w:p w14:paraId="2D8AF8A7" w14:textId="4771F12A" w:rsidR="00C26E72" w:rsidRPr="00C26E72" w:rsidRDefault="00C26E72">
      <w:pPr>
        <w:rPr>
          <w:rFonts w:cstheme="minorHAnsi"/>
        </w:rPr>
      </w:pPr>
    </w:p>
    <w:p w14:paraId="0D0C4B9A" w14:textId="0BDD63BB" w:rsidR="00C26E72" w:rsidRPr="00C26E72" w:rsidRDefault="00C26E72" w:rsidP="00C26E72">
      <w:pPr>
        <w:autoSpaceDE w:val="0"/>
        <w:autoSpaceDN w:val="0"/>
        <w:spacing w:line="276" w:lineRule="auto"/>
        <w:rPr>
          <w:rFonts w:cstheme="minorHAnsi"/>
          <w:sz w:val="20"/>
          <w:szCs w:val="20"/>
        </w:rPr>
      </w:pPr>
      <w:r w:rsidRPr="00C26E72">
        <w:rPr>
          <w:rFonts w:cstheme="minorHAnsi"/>
          <w:sz w:val="20"/>
          <w:szCs w:val="20"/>
        </w:rPr>
        <w:t>Artikel 4.3</w:t>
      </w:r>
    </w:p>
    <w:p w14:paraId="1C432CA2" w14:textId="4B7DD73C" w:rsidR="00C26E72" w:rsidRPr="00C26E72" w:rsidRDefault="00A61D97" w:rsidP="00C26E72">
      <w:pPr>
        <w:autoSpaceDE w:val="0"/>
        <w:autoSpaceDN w:val="0"/>
        <w:spacing w:line="276" w:lineRule="auto"/>
        <w:rPr>
          <w:rFonts w:cstheme="minorHAnsi"/>
          <w:sz w:val="20"/>
          <w:szCs w:val="20"/>
        </w:rPr>
      </w:pPr>
      <w:r w:rsidRPr="00C26E72">
        <w:rPr>
          <w:rFonts w:cstheme="minorHAnsi"/>
          <w:sz w:val="20"/>
          <w:szCs w:val="20"/>
        </w:rPr>
        <w:t>Dataverwerking</w:t>
      </w:r>
      <w:r w:rsidR="00C26E72" w:rsidRPr="00C26E72">
        <w:rPr>
          <w:rFonts w:cstheme="minorHAnsi"/>
          <w:sz w:val="20"/>
          <w:szCs w:val="20"/>
        </w:rPr>
        <w:t xml:space="preserve"> buiten Europa is niet toegestaan. En 24/7 support is geen eis. Echter de Verwerker mag Persoonsgegevens buiten de Europese Economische Ruimte alleen (laten) verwerken wanneer is voldaan aan de voorwaarden van artikel 45 of 46 AVG. Wanneer er sprake is van een verwerking buiten de EER, dan stelt Verwerker Verwerkingsverantwoordelijke daarvan vooraf op de hoogte en vangt de verwerking buiten de Europese Economische Ruimte niet aan dan na voorafgaande schriftelijke toestemming van Verwerkingsverantwoordelijke. </w:t>
      </w:r>
    </w:p>
    <w:p w14:paraId="58140589" w14:textId="77777777" w:rsidR="00C26E72" w:rsidRPr="00C26E72" w:rsidRDefault="00C26E72" w:rsidP="00C26E72">
      <w:pPr>
        <w:rPr>
          <w:rFonts w:cstheme="minorHAnsi"/>
          <w:sz w:val="20"/>
          <w:szCs w:val="20"/>
        </w:rPr>
      </w:pPr>
    </w:p>
    <w:p w14:paraId="13254BF0" w14:textId="77777777" w:rsidR="00C26E72" w:rsidRPr="00C26E72" w:rsidRDefault="00C26E72" w:rsidP="00C26E72">
      <w:pPr>
        <w:rPr>
          <w:rFonts w:cstheme="minorHAnsi"/>
          <w:sz w:val="20"/>
          <w:szCs w:val="20"/>
        </w:rPr>
      </w:pPr>
      <w:r w:rsidRPr="00C26E72">
        <w:rPr>
          <w:rFonts w:cstheme="minorHAnsi"/>
          <w:sz w:val="20"/>
          <w:szCs w:val="20"/>
        </w:rPr>
        <w:t>Tot de mogelijkheden die Verwerker heeft om persoonsgegevens buiten de EER te laten verwerken behoren onder meer.</w:t>
      </w:r>
    </w:p>
    <w:p w14:paraId="18DEF0A2" w14:textId="77777777" w:rsidR="00C26E72" w:rsidRPr="00C26E72" w:rsidRDefault="00C26E72" w:rsidP="00C26E72">
      <w:pPr>
        <w:rPr>
          <w:rFonts w:cstheme="minorHAnsi"/>
          <w:sz w:val="20"/>
          <w:szCs w:val="20"/>
        </w:rPr>
      </w:pPr>
    </w:p>
    <w:p w14:paraId="3BC24467" w14:textId="4439E366" w:rsidR="00C26E72" w:rsidRPr="00C26E72" w:rsidRDefault="00C26E72" w:rsidP="00C26E72">
      <w:pPr>
        <w:pStyle w:val="Lijstalinea"/>
        <w:numPr>
          <w:ilvl w:val="0"/>
          <w:numId w:val="23"/>
        </w:numPr>
        <w:contextualSpacing w:val="0"/>
        <w:rPr>
          <w:rFonts w:asciiTheme="minorHAnsi" w:hAnsiTheme="minorHAnsi" w:cstheme="minorHAnsi"/>
          <w:sz w:val="20"/>
          <w:szCs w:val="20"/>
        </w:rPr>
      </w:pPr>
      <w:r w:rsidRPr="00C26E72">
        <w:rPr>
          <w:rFonts w:asciiTheme="minorHAnsi" w:hAnsiTheme="minorHAnsi" w:cstheme="minorHAnsi"/>
          <w:sz w:val="20"/>
          <w:szCs w:val="20"/>
        </w:rPr>
        <w:t xml:space="preserve">het gebruik van SCC (Standard Contractual Clauses) zijn afgesproken, dit zijn door de Europese Commissie goedgekeurde modelcontracten die dan afgesloten moeten worden naast de normale overeenkomst en verwerkersovereenkomst. Voorwaarde is wel dat de Verwerker tevens eerst een stevige </w:t>
      </w:r>
      <w:r w:rsidR="00A61D97" w:rsidRPr="00C26E72">
        <w:rPr>
          <w:rFonts w:asciiTheme="minorHAnsi" w:hAnsiTheme="minorHAnsi" w:cstheme="minorHAnsi"/>
          <w:sz w:val="20"/>
          <w:szCs w:val="20"/>
        </w:rPr>
        <w:t>risicoanalyse</w:t>
      </w:r>
      <w:r w:rsidRPr="00C26E72">
        <w:rPr>
          <w:rFonts w:asciiTheme="minorHAnsi" w:hAnsiTheme="minorHAnsi" w:cstheme="minorHAnsi"/>
          <w:sz w:val="20"/>
          <w:szCs w:val="20"/>
        </w:rPr>
        <w:t xml:space="preserve"> uitvoert (een zogeheten TIA - Transfer Impact Assessment) en dat de SCC door de Verwerker worden aangevuld met specifieke risicobeheersingsmaatregelen. </w:t>
      </w:r>
    </w:p>
    <w:p w14:paraId="26C6FD2F" w14:textId="77777777" w:rsidR="00C26E72" w:rsidRPr="00C26E72" w:rsidRDefault="00C26E72" w:rsidP="00C26E72">
      <w:pPr>
        <w:pStyle w:val="Lijstalinea"/>
        <w:rPr>
          <w:rFonts w:asciiTheme="minorHAnsi" w:eastAsiaTheme="minorHAnsi" w:hAnsiTheme="minorHAnsi" w:cstheme="minorHAnsi"/>
          <w:sz w:val="20"/>
          <w:szCs w:val="20"/>
        </w:rPr>
      </w:pPr>
    </w:p>
    <w:p w14:paraId="3AEBBEC7" w14:textId="35638434" w:rsidR="00C26E72" w:rsidRPr="00C26E72" w:rsidRDefault="00C26E72" w:rsidP="00C26E72">
      <w:pPr>
        <w:pStyle w:val="Lijstalinea"/>
        <w:numPr>
          <w:ilvl w:val="0"/>
          <w:numId w:val="23"/>
        </w:numPr>
        <w:contextualSpacing w:val="0"/>
        <w:rPr>
          <w:rFonts w:asciiTheme="minorHAnsi" w:hAnsiTheme="minorHAnsi" w:cstheme="minorHAnsi"/>
          <w:sz w:val="20"/>
          <w:szCs w:val="20"/>
        </w:rPr>
      </w:pPr>
      <w:r w:rsidRPr="00C26E72">
        <w:rPr>
          <w:rFonts w:asciiTheme="minorHAnsi" w:hAnsiTheme="minorHAnsi" w:cstheme="minorHAnsi"/>
          <w:sz w:val="20"/>
          <w:szCs w:val="20"/>
        </w:rPr>
        <w:t xml:space="preserve">Als de Verwerker de persoonsgegevens doorgeeft aan een </w:t>
      </w:r>
      <w:r w:rsidR="00A61D97" w:rsidRPr="00C26E72">
        <w:rPr>
          <w:rFonts w:asciiTheme="minorHAnsi" w:hAnsiTheme="minorHAnsi" w:cstheme="minorHAnsi"/>
          <w:sz w:val="20"/>
          <w:szCs w:val="20"/>
        </w:rPr>
        <w:t>sub verwerker</w:t>
      </w:r>
      <w:r w:rsidRPr="00C26E72">
        <w:rPr>
          <w:rFonts w:asciiTheme="minorHAnsi" w:hAnsiTheme="minorHAnsi" w:cstheme="minorHAnsi"/>
          <w:sz w:val="20"/>
          <w:szCs w:val="20"/>
        </w:rPr>
        <w:t xml:space="preserve"> in een land waarvoor een zogeheten adequaatheidsbesluit bestaat, dan is het gebruik van SCC niet nodig. Een adequaatheidsbesluit houdt in dat er 14 landen zijn waarvan de EC vindt dat de verwerking van persoonsgegevens net zo is geregeld als in Europa.</w:t>
      </w:r>
    </w:p>
    <w:p w14:paraId="0102B5CF" w14:textId="77777777" w:rsidR="00C26E72" w:rsidRPr="00C26E72" w:rsidRDefault="00C26E72" w:rsidP="00C26E72">
      <w:pPr>
        <w:rPr>
          <w:rFonts w:cstheme="minorHAnsi"/>
          <w:sz w:val="20"/>
          <w:szCs w:val="20"/>
        </w:rPr>
      </w:pPr>
    </w:p>
    <w:p w14:paraId="60056DAF" w14:textId="77777777" w:rsidR="00C26E72" w:rsidRPr="00C26E72" w:rsidRDefault="00C26E72" w:rsidP="00C26E72">
      <w:pPr>
        <w:rPr>
          <w:rFonts w:cstheme="minorHAnsi"/>
          <w:sz w:val="20"/>
          <w:szCs w:val="20"/>
        </w:rPr>
      </w:pPr>
      <w:r w:rsidRPr="00C26E72">
        <w:rPr>
          <w:rFonts w:cstheme="minorHAnsi"/>
          <w:sz w:val="20"/>
          <w:szCs w:val="20"/>
        </w:rPr>
        <w:t>Dit zijn de landen waarvoor de EC een adequaatheidsbesluit heeft afgegeven:</w:t>
      </w:r>
    </w:p>
    <w:p w14:paraId="4B4DC836"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Andorra</w:t>
      </w:r>
    </w:p>
    <w:p w14:paraId="0206ABAB"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Argentinië</w:t>
      </w:r>
    </w:p>
    <w:p w14:paraId="54F46FC0"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Canada ( commercial organisations)</w:t>
      </w:r>
    </w:p>
    <w:p w14:paraId="406FEE2C"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Faroe Islands</w:t>
      </w:r>
    </w:p>
    <w:p w14:paraId="2110DB2A"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Guernsey</w:t>
      </w:r>
    </w:p>
    <w:p w14:paraId="1EB4912F"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Isreal</w:t>
      </w:r>
    </w:p>
    <w:p w14:paraId="10327106"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Isle of man</w:t>
      </w:r>
    </w:p>
    <w:p w14:paraId="7A26A873"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Japan</w:t>
      </w:r>
    </w:p>
    <w:p w14:paraId="3819499A"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Jersey</w:t>
      </w:r>
    </w:p>
    <w:p w14:paraId="3D295C4E"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Korea</w:t>
      </w:r>
    </w:p>
    <w:p w14:paraId="76C7017C"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New Zeeland</w:t>
      </w:r>
    </w:p>
    <w:p w14:paraId="4B90FA7E"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Zwitserland</w:t>
      </w:r>
    </w:p>
    <w:p w14:paraId="13E684C6"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Uruguay</w:t>
      </w:r>
    </w:p>
    <w:p w14:paraId="0D8060F9" w14:textId="77777777" w:rsidR="00C26E72" w:rsidRPr="00C26E72" w:rsidRDefault="00C26E72" w:rsidP="00C26E72">
      <w:pPr>
        <w:pStyle w:val="Lijstalinea"/>
        <w:numPr>
          <w:ilvl w:val="0"/>
          <w:numId w:val="24"/>
        </w:numPr>
        <w:contextualSpacing w:val="0"/>
        <w:rPr>
          <w:rFonts w:asciiTheme="minorHAnsi" w:hAnsiTheme="minorHAnsi" w:cstheme="minorHAnsi"/>
          <w:sz w:val="20"/>
          <w:szCs w:val="20"/>
        </w:rPr>
      </w:pPr>
      <w:r w:rsidRPr="00C26E72">
        <w:rPr>
          <w:rFonts w:asciiTheme="minorHAnsi" w:hAnsiTheme="minorHAnsi" w:cstheme="minorHAnsi"/>
          <w:sz w:val="20"/>
          <w:szCs w:val="20"/>
        </w:rPr>
        <w:t>United Kingdom</w:t>
      </w:r>
    </w:p>
    <w:p w14:paraId="1114D70C" w14:textId="77777777" w:rsidR="00C26E72" w:rsidRPr="00C26E72" w:rsidRDefault="00C26E72" w:rsidP="00C26E72">
      <w:pPr>
        <w:rPr>
          <w:rFonts w:cstheme="minorHAnsi"/>
          <w:sz w:val="20"/>
          <w:szCs w:val="20"/>
        </w:rPr>
      </w:pPr>
    </w:p>
    <w:p w14:paraId="678AAFBD" w14:textId="612CB464" w:rsidR="00C26E72" w:rsidRPr="00C26E72" w:rsidRDefault="00C26E72" w:rsidP="00C26E72">
      <w:pPr>
        <w:rPr>
          <w:rFonts w:cstheme="minorHAnsi"/>
          <w:sz w:val="20"/>
          <w:szCs w:val="20"/>
        </w:rPr>
      </w:pPr>
      <w:r w:rsidRPr="00C26E72">
        <w:rPr>
          <w:rFonts w:cstheme="minorHAnsi"/>
          <w:sz w:val="20"/>
          <w:szCs w:val="20"/>
        </w:rPr>
        <w:t xml:space="preserve">De </w:t>
      </w:r>
      <w:r w:rsidR="00A61D97" w:rsidRPr="00C26E72">
        <w:rPr>
          <w:rFonts w:cstheme="minorHAnsi"/>
          <w:sz w:val="20"/>
          <w:szCs w:val="20"/>
        </w:rPr>
        <w:t>VS</w:t>
      </w:r>
      <w:r w:rsidRPr="00C26E72">
        <w:rPr>
          <w:rFonts w:cstheme="minorHAnsi"/>
          <w:sz w:val="20"/>
          <w:szCs w:val="20"/>
        </w:rPr>
        <w:t xml:space="preserve"> zitten hier niet bij.</w:t>
      </w:r>
    </w:p>
    <w:p w14:paraId="793DB192" w14:textId="77777777" w:rsidR="00C26E72" w:rsidRPr="00C26E72" w:rsidRDefault="00C26E72">
      <w:pPr>
        <w:rPr>
          <w:rFonts w:cstheme="minorHAnsi"/>
        </w:rPr>
      </w:pPr>
    </w:p>
    <w:sectPr w:rsidR="00C26E72" w:rsidRPr="00C26E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90A"/>
    <w:multiLevelType w:val="multilevel"/>
    <w:tmpl w:val="A79A2E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260EBD"/>
    <w:multiLevelType w:val="multilevel"/>
    <w:tmpl w:val="4D36A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1A6D56"/>
    <w:multiLevelType w:val="multilevel"/>
    <w:tmpl w:val="B1942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5216775"/>
    <w:multiLevelType w:val="multilevel"/>
    <w:tmpl w:val="91C4B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31A0096"/>
    <w:multiLevelType w:val="hybridMultilevel"/>
    <w:tmpl w:val="1D36E24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773203AE"/>
    <w:multiLevelType w:val="hybridMultilevel"/>
    <w:tmpl w:val="EA3454B2"/>
    <w:lvl w:ilvl="0" w:tplc="461AC3B0">
      <w:start w:val="2"/>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7904509C"/>
    <w:multiLevelType w:val="multilevel"/>
    <w:tmpl w:val="ACF4A93C"/>
    <w:lvl w:ilvl="0">
      <w:start w:val="1"/>
      <w:numFmt w:val="decimal"/>
      <w:lvlText w:val="%1"/>
      <w:lvlJc w:val="left"/>
      <w:pPr>
        <w:ind w:left="432" w:hanging="432"/>
      </w:pPr>
      <w:rPr>
        <w:rFonts w:hint="default"/>
      </w:rPr>
    </w:lvl>
    <w:lvl w:ilvl="1">
      <w:start w:val="1"/>
      <w:numFmt w:val="decimal"/>
      <w:pStyle w:val="Kop2"/>
      <w:lvlText w:val="%1.%2"/>
      <w:lvlJc w:val="left"/>
      <w:pPr>
        <w:ind w:left="1852" w:hanging="576"/>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394085245">
    <w:abstractNumId w:val="6"/>
  </w:num>
  <w:num w:numId="2" w16cid:durableId="44531000">
    <w:abstractNumId w:val="2"/>
  </w:num>
  <w:num w:numId="3" w16cid:durableId="580484041">
    <w:abstractNumId w:val="6"/>
  </w:num>
  <w:num w:numId="4" w16cid:durableId="1542328322">
    <w:abstractNumId w:val="3"/>
  </w:num>
  <w:num w:numId="5" w16cid:durableId="1935626131">
    <w:abstractNumId w:val="6"/>
  </w:num>
  <w:num w:numId="6" w16cid:durableId="978222871">
    <w:abstractNumId w:val="0"/>
  </w:num>
  <w:num w:numId="7" w16cid:durableId="1376584334">
    <w:abstractNumId w:val="6"/>
  </w:num>
  <w:num w:numId="8" w16cid:durableId="1221207897">
    <w:abstractNumId w:val="6"/>
  </w:num>
  <w:num w:numId="9" w16cid:durableId="1939481378">
    <w:abstractNumId w:val="6"/>
  </w:num>
  <w:num w:numId="10" w16cid:durableId="1062560562">
    <w:abstractNumId w:val="6"/>
  </w:num>
  <w:num w:numId="11" w16cid:durableId="2069112594">
    <w:abstractNumId w:val="6"/>
  </w:num>
  <w:num w:numId="12" w16cid:durableId="1538544847">
    <w:abstractNumId w:val="6"/>
  </w:num>
  <w:num w:numId="13" w16cid:durableId="1634941573">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2110286">
    <w:abstractNumId w:val="1"/>
  </w:num>
  <w:num w:numId="15" w16cid:durableId="380903583">
    <w:abstractNumId w:val="6"/>
  </w:num>
  <w:num w:numId="16" w16cid:durableId="992492604">
    <w:abstractNumId w:val="6"/>
  </w:num>
  <w:num w:numId="17" w16cid:durableId="1973750440">
    <w:abstractNumId w:val="6"/>
  </w:num>
  <w:num w:numId="18" w16cid:durableId="717358912">
    <w:abstractNumId w:val="6"/>
  </w:num>
  <w:num w:numId="19" w16cid:durableId="693190457">
    <w:abstractNumId w:val="6"/>
  </w:num>
  <w:num w:numId="20" w16cid:durableId="910968649">
    <w:abstractNumId w:val="6"/>
  </w:num>
  <w:num w:numId="21" w16cid:durableId="1527257731">
    <w:abstractNumId w:val="6"/>
  </w:num>
  <w:num w:numId="22" w16cid:durableId="299069579">
    <w:abstractNumId w:val="6"/>
  </w:num>
  <w:num w:numId="23" w16cid:durableId="10146510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13604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E72"/>
    <w:rsid w:val="000D004D"/>
    <w:rsid w:val="001647F6"/>
    <w:rsid w:val="0042165B"/>
    <w:rsid w:val="005B6B0F"/>
    <w:rsid w:val="00642471"/>
    <w:rsid w:val="00747DE5"/>
    <w:rsid w:val="00774EBB"/>
    <w:rsid w:val="007A61A4"/>
    <w:rsid w:val="00981C33"/>
    <w:rsid w:val="00A61D97"/>
    <w:rsid w:val="00BC164F"/>
    <w:rsid w:val="00BF44B6"/>
    <w:rsid w:val="00C26E72"/>
    <w:rsid w:val="00C92A5A"/>
    <w:rsid w:val="00D22576"/>
    <w:rsid w:val="00D4397C"/>
    <w:rsid w:val="00E941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4DD4E"/>
  <w15:chartTrackingRefBased/>
  <w15:docId w15:val="{BC18238E-B427-4429-B77A-20B7DB38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sectionHeading,Hoofdstuk (1.),Univé Hoofdstuk,hoofdstuk"/>
    <w:basedOn w:val="Standaard"/>
    <w:next w:val="Standaard"/>
    <w:link w:val="Kop1Char"/>
    <w:autoRedefine/>
    <w:uiPriority w:val="9"/>
    <w:qFormat/>
    <w:rsid w:val="00774EBB"/>
    <w:pPr>
      <w:keepNext/>
      <w:spacing w:after="0" w:line="360" w:lineRule="auto"/>
      <w:jc w:val="both"/>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774EBB"/>
    <w:pPr>
      <w:numPr>
        <w:ilvl w:val="1"/>
        <w:numId w:val="8"/>
      </w:numPr>
      <w:spacing w:before="240" w:after="60"/>
      <w:ind w:left="576"/>
      <w:outlineLvl w:val="1"/>
    </w:pPr>
    <w:rPr>
      <w:rFonts w:asciiTheme="minorHAnsi" w:hAnsiTheme="minorHAnsi" w:cstheme="minorHAnsi"/>
      <w:kern w:val="0"/>
      <w:sz w:val="2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774EBB"/>
    <w:rPr>
      <w:rFonts w:eastAsiaTheme="majorEastAsia" w:cstheme="minorHAnsi"/>
      <w:b/>
      <w:bCs/>
      <w:sz w:val="28"/>
      <w:szCs w:val="26"/>
    </w:rPr>
  </w:style>
  <w:style w:type="character" w:customStyle="1" w:styleId="Kop1Char">
    <w:name w:val="Kop 1 Char"/>
    <w:aliases w:val="Section Heading Char,sectionHeading Char,Hoofdstuk (1.) Char,Univé Hoofdstuk Char,hoofdstuk Char"/>
    <w:basedOn w:val="Standaardalinea-lettertype"/>
    <w:link w:val="Kop1"/>
    <w:uiPriority w:val="9"/>
    <w:rsid w:val="00BF44B6"/>
    <w:rPr>
      <w:rFonts w:ascii="Calibri" w:eastAsiaTheme="majorEastAsia" w:hAnsi="Calibri" w:cstheme="majorBidi"/>
      <w:b/>
      <w:bCs/>
      <w:kern w:val="32"/>
      <w:sz w:val="36"/>
      <w:szCs w:val="32"/>
    </w:rPr>
  </w:style>
  <w:style w:type="paragraph" w:customStyle="1" w:styleId="HNIKop2zondernummering">
    <w:name w:val="HNI_Kop 2 zonder nummering"/>
    <w:basedOn w:val="Standaard"/>
    <w:next w:val="Standaard"/>
    <w:qFormat/>
    <w:rsid w:val="00D4397C"/>
    <w:pPr>
      <w:spacing w:after="0" w:line="240" w:lineRule="atLeast"/>
    </w:pPr>
    <w:rPr>
      <w:rFonts w:ascii="Arial" w:hAnsi="Arial"/>
      <w:sz w:val="20"/>
      <w:szCs w:val="20"/>
      <w:u w:val="single"/>
    </w:rPr>
  </w:style>
  <w:style w:type="paragraph" w:customStyle="1" w:styleId="Standaardinspr">
    <w:name w:val="Standaard inspr"/>
    <w:basedOn w:val="Standaard"/>
    <w:qFormat/>
    <w:rsid w:val="00981C33"/>
    <w:pPr>
      <w:widowControl w:val="0"/>
      <w:autoSpaceDE w:val="0"/>
      <w:autoSpaceDN w:val="0"/>
      <w:adjustRightInd w:val="0"/>
      <w:spacing w:after="0" w:line="240" w:lineRule="auto"/>
    </w:pPr>
    <w:rPr>
      <w:rFonts w:eastAsia="Times New Roman" w:cs="Times New Roman"/>
      <w:sz w:val="20"/>
      <w:szCs w:val="24"/>
      <w:lang w:eastAsia="nl-NL"/>
    </w:rPr>
  </w:style>
  <w:style w:type="paragraph" w:styleId="Lijstalinea">
    <w:name w:val="List Paragraph"/>
    <w:basedOn w:val="Standaard"/>
    <w:uiPriority w:val="34"/>
    <w:qFormat/>
    <w:rsid w:val="00C26E72"/>
    <w:pPr>
      <w:spacing w:after="0" w:line="240" w:lineRule="auto"/>
      <w:ind w:left="720"/>
      <w:contextualSpacing/>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054476D4F61247879CFE9A84E3A006" ma:contentTypeVersion="8" ma:contentTypeDescription="Een nieuw document maken." ma:contentTypeScope="" ma:versionID="2070113dcfa7cf2f491c4937086997d8">
  <xsd:schema xmlns:xsd="http://www.w3.org/2001/XMLSchema" xmlns:xs="http://www.w3.org/2001/XMLSchema" xmlns:p="http://schemas.microsoft.com/office/2006/metadata/properties" xmlns:ns2="164a6b8e-7fbc-49d7-b3f0-9417fa47e777" xmlns:ns3="dfad76dd-47e5-4fb3-ab4e-0c4ffb1f4422" targetNamespace="http://schemas.microsoft.com/office/2006/metadata/properties" ma:root="true" ma:fieldsID="24547e5b0f9622babae59bba7bb49d4b" ns2:_="" ns3:_="">
    <xsd:import namespace="164a6b8e-7fbc-49d7-b3f0-9417fa47e777"/>
    <xsd:import namespace="dfad76dd-47e5-4fb3-ab4e-0c4ffb1f44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a6b8e-7fbc-49d7-b3f0-9417fa47e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ad76dd-47e5-4fb3-ab4e-0c4ffb1f4422"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5136A-C919-44EC-A86B-0D3AF2A2A3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890EB9-78D3-4065-8EB2-44AB9C4211F7}">
  <ds:schemaRefs>
    <ds:schemaRef ds:uri="http://schemas.microsoft.com/sharepoint/v3/contenttype/forms"/>
  </ds:schemaRefs>
</ds:datastoreItem>
</file>

<file path=customXml/itemProps3.xml><?xml version="1.0" encoding="utf-8"?>
<ds:datastoreItem xmlns:ds="http://schemas.openxmlformats.org/officeDocument/2006/customXml" ds:itemID="{F48FFFB5-FF34-4F0A-8F79-2369DE7E8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a6b8e-7fbc-49d7-b3f0-9417fa47e777"/>
    <ds:schemaRef ds:uri="dfad76dd-47e5-4fb3-ab4e-0c4ffb1f4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269</Words>
  <Characters>1484</Characters>
  <Application>Microsoft Office Word</Application>
  <DocSecurity>0</DocSecurity>
  <Lines>12</Lines>
  <Paragraphs>3</Paragraphs>
  <ScaleCrop>false</ScaleCrop>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Plattel</dc:creator>
  <cp:keywords/>
  <dc:description/>
  <cp:lastModifiedBy>Jos Plattel</cp:lastModifiedBy>
  <cp:revision>2</cp:revision>
  <dcterms:created xsi:type="dcterms:W3CDTF">2022-10-25T15:16:00Z</dcterms:created>
  <dcterms:modified xsi:type="dcterms:W3CDTF">2022-10-26T07:26:00Z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0x0101009B054476D4F61247879CFE9A84E3A006</vt:lpwstr>
  </property>
</Properties>
</file>